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99F5" w14:textId="65CFF0B9" w:rsidR="00727CD9" w:rsidRDefault="00727CD9"/>
    <w:p w14:paraId="7552CD15" w14:textId="0492A3B5" w:rsidR="007F660F" w:rsidRDefault="007F660F"/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F660F" w14:paraId="5D5EFB58" w14:textId="77777777" w:rsidTr="007F66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250" w:type="dxa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7F660F" w14:paraId="25AC7352" w14:textId="77777777" w:rsidTr="007F660F">
              <w:trPr>
                <w:trHeight w:val="1142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7F660F" w14:paraId="31833B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7F660F" w14:paraId="5BAC3F1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A4BB24" w14:textId="77777777" w:rsidR="007F660F" w:rsidRDefault="007F66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7F660F" w14:paraId="6C3CD25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FCA46D" w14:textId="77777777" w:rsidR="007F660F" w:rsidRDefault="007F660F">
                              <w:pPr>
                                <w:pStyle w:val="NormalWeb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16 February 2022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  <w:tr w:rsidR="007F660F" w14:paraId="6725BFD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5E77C5" w14:textId="77777777" w:rsidR="007F660F" w:rsidRDefault="007F66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14:paraId="2E3E98DE" w14:textId="77777777" w:rsidR="007F660F" w:rsidRDefault="007F660F">
                        <w:pPr>
                          <w:rPr>
                            <w:rFonts w:eastAsia="Times New Roman"/>
                            <w:vanish/>
                            <w:color w:val="00000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7F660F" w14:paraId="3D958EE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7B41BC" w14:textId="77777777" w:rsidR="007F660F" w:rsidRDefault="007F660F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</w:rPr>
                                <w:t>Trading Standards on hand to beat nuisance calls</w:t>
                              </w:r>
                              <w:r>
                                <w:rPr>
                                  <w:rStyle w:val="Strong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7F660F" w14:paraId="419BCBE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982A4E" w14:textId="77777777" w:rsidR="007F660F" w:rsidRDefault="007F660F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7F660F" w14:paraId="5A8A6008" w14:textId="77777777" w:rsidTr="007F660F">
                          <w:trPr>
                            <w:trHeight w:val="102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10E92C8A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Help is on hand for elderly and vulnerable residents to stop them being targeted by fraudsters.</w:t>
                              </w:r>
                            </w:p>
                            <w:p w14:paraId="5C5E6DA4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West Sussex Trading Standards is offering to install call blocking devices free of charge to help stop nuisance calls.</w:t>
                              </w:r>
                            </w:p>
                            <w:p w14:paraId="2DA11FAB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Residents need to satisfy certain criteria to qualify for the devices, which are proven to block up to 98% of nuisance calls.</w:t>
                              </w:r>
                            </w:p>
                            <w:p w14:paraId="1948BCF6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To qualify for a call blocker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residents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need to: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  <w:t>•    Live in West Sussex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  <w:t>•    Regularly receive scam and nuisance calls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  <w:t>•    Have care or support needs due to factors such as age, mobility or mental health.</w:t>
                              </w:r>
                            </w:p>
                            <w:p w14:paraId="1685FB0B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Relatives, carers or friends can also apply on behalf of West Sussex residents who meet the criteria.</w:t>
                              </w:r>
                            </w:p>
                            <w:p w14:paraId="2CFC8806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Richard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Sargeant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, West Sussex Trading Standards Team Manager said: “These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callblockers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assist us in identifying and tackling rogue businesses who make thousands of pounds from ripping people off.</w:t>
                              </w:r>
                            </w:p>
                            <w:p w14:paraId="6EFB1C67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“We only have limited numbers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callblockers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>, so we're prioritising our installations to those most vulnerable and at risk, but please do get in touch so we can offer our advice and support.”</w:t>
                              </w:r>
                            </w:p>
                            <w:p w14:paraId="327D8D89" w14:textId="77777777" w:rsid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Duncan Crow, Cabinet Member for Community Support, Fire and Rescue, said: “Fraudsters and rogue businesses are cunning in their phone-scam tactics and ready to dupe unsuspecting victims out of thousands of pounds - and these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callblockers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can offer vital protection to stay safe and avoid being scammed.”</w:t>
                              </w:r>
                            </w:p>
                            <w:p w14:paraId="71463C23" w14:textId="3B92D872" w:rsidR="007F660F" w:rsidRPr="007F660F" w:rsidRDefault="007F660F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To apply for a call blocker, contact Trading Standards online at: </w:t>
                              </w:r>
                              <w:hyperlink r:id="rId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www.westsussex.gov.uk/callblocker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t xml:space="preserve"> or call 01243 642124 (Option 2). </w:t>
                              </w:r>
                              <w:r>
                                <w:rPr>
                                  <w:rStyle w:val="Strong"/>
                                </w:rPr>
                                <w:t xml:space="preserve"> </w:t>
                              </w:r>
                            </w:p>
                            <w:p w14:paraId="2E7E017A" w14:textId="77777777" w:rsidR="007F660F" w:rsidRDefault="007F660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  <w:p w14:paraId="330B7B6A" w14:textId="356FCFD5" w:rsidR="007F660F" w:rsidRDefault="007F660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For further information please contact the news desk on 0330 222 8090 or email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pressoffice@westsussex.gov.uk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992FA89" w14:textId="77777777" w:rsidR="007F660F" w:rsidRDefault="007F660F">
                        <w:pPr>
                          <w:rPr>
                            <w:rFonts w:eastAsia="Times New Roman"/>
                            <w:vanish/>
                            <w:color w:val="000000"/>
                          </w:rPr>
                        </w:pPr>
                      </w:p>
                      <w:p w14:paraId="4347B8A4" w14:textId="77777777" w:rsidR="007F660F" w:rsidRDefault="007F660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8F7C9E" w14:textId="77777777" w:rsidR="007F660F" w:rsidRDefault="007F660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D0D3EC" w14:textId="77777777" w:rsidR="007F660F" w:rsidRDefault="007F66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9EFAA6" w14:textId="77777777" w:rsidR="007F660F" w:rsidRDefault="007F660F"/>
    <w:sectPr w:rsidR="007F6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0F"/>
    <w:rsid w:val="00727CD9"/>
    <w:rsid w:val="007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AEC7"/>
  <w15:chartTrackingRefBased/>
  <w15:docId w15:val="{40DD9B23-D538-482D-BD0D-4D010747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0F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6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660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F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office@westsussex.gov.uk" TargetMode="External"/><Relationship Id="rId4" Type="http://schemas.openxmlformats.org/officeDocument/2006/relationships/hyperlink" Target="www.westsussex.gov.uk/callbloc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Nadine</cp:lastModifiedBy>
  <cp:revision>1</cp:revision>
  <dcterms:created xsi:type="dcterms:W3CDTF">2022-02-16T12:15:00Z</dcterms:created>
  <dcterms:modified xsi:type="dcterms:W3CDTF">2022-02-16T12:16:00Z</dcterms:modified>
</cp:coreProperties>
</file>